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b/>
          <w:sz w:val="28"/>
          <w:szCs w:val="28"/>
          <w:lang w:val="en-GB" w:eastAsia="nl-NL"/>
        </w:rPr>
        <w:t>Key-publications</w:t>
      </w:r>
    </w:p>
    <w:p w:rsidR="00324F8F" w:rsidRPr="00324F8F" w:rsidRDefault="00324F8F" w:rsidP="00324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Graff MJL,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MJFJ,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Hoefnagels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WHL, Dekker J, Witte de LP.  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Occupational therapy at home for older individuals with mild to moderate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cognitive impairments and their primary caregivers: a pilot study.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OTJR Occupation Participation Health Res 2003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; 23:155-163. </w:t>
      </w:r>
    </w:p>
    <w:p w:rsidR="00324F8F" w:rsidRPr="00324F8F" w:rsidRDefault="00324F8F" w:rsidP="00324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Graff MJL,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MJFJ,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Zajec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J,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MGM,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Hoefnagels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WHL, Dekker J. How can occupational therapy improve the daily performance and communication of an older patient with dementia and his primary caregiver? A case study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. Dementia, Journal of Social Research &amp; Practice, 2006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; 5:503-32.</w:t>
      </w:r>
    </w:p>
    <w:p w:rsidR="00324F8F" w:rsidRPr="00324F8F" w:rsidRDefault="00324F8F" w:rsidP="00324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Graff MJL,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MJFJ,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Thijssen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MGM,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Hoefnagels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WHL, Dekker J. Community occupational therapy for dementia patients and their primary caregivers: a randomized controlled trial.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BMJ 2006;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333:1196; doi:10.1136/BMJ 39001.688843.BE. </w:t>
      </w:r>
    </w:p>
    <w:p w:rsidR="00324F8F" w:rsidRPr="00324F8F" w:rsidRDefault="00324F8F" w:rsidP="00324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 w:hanging="708"/>
        <w:contextualSpacing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Graff MJL,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MJFJ,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Thijssen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MGM,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Hoefnagels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WHL, Dekker J. Effects of community occupational therapy on quality of life and health status in dementia patients and their primary caregivers: a randomized controlled trial. J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Gerontol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A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Biol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Sci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Med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Sci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(2007)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62 (9): 1002-1009.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5.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Graff MJL,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Adang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EMM,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MJM, Dekker J,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Jönsson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Thijssen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Hoefnagels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WHL,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MGM. Community occupational therapy for older patients with dementia and their caregivers: a cost-effectiveness study.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BMJ 2008;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336:134-138; BMJ online 2008; doi:10.1136/BMJ.39408.481898.BE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6.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Graff MJL. PhD thesis.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Effectiveness and efficiency of community occupational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therapy in older people with dementia and their caregivers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Enschede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: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Ipskamp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Printpartners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. June 2008.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7.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E.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Derksen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MJL Graff, PJ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Visser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MJFJ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MGM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Olde-Rikkert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 MCI-patients’: worries about their prognosis justified? Journal of Neurology and Psychiatry-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J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Neurol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Neurosurg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Psychiatr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, 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01/2009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8.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Graff MJL,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MJM,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MGM. (2009).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Ergotherapie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aan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huis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bij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ouderen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met 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dementie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hun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mantelzorgers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 [Community occupational therapy for older people and their caregivers.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Gerion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Dutch Journal for managers in healthcare].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Gerion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,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Tijdschrift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voor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managers in de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gezondheidszorg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. November 2009.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9.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Graff MJL. Red. Graff,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Melick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 van,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Thijssen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Verstraten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P,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Zajec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J.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Ergotherapie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aan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huis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bij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ouderen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met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dementie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en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hun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mantelzorgers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. EDOMAH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programma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[Community occupational therapy for older people with dementia and their caregivers.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COTiD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programme] Bohn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Stafleu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&amp; van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Loghum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June 2010. [In Dutch]. ISBN: 9789031378739.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10.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Sturkenboom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IHWM;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Nijhuis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-van der Sanden, MWG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Bloem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BR; 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Borm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GF; Graff, MJL;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Munneke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M. The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OTiP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Pilot: Design of a Trial Evaluating the Feasibility of a Large Scale RCT on the Effectiveness of Occupational Therapy in Parkinson's Disease.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Movement Disorders, 2010,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25, 3, S715-S715.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11.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>Voigt-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Radloff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S., Graff MJL, Reinhart L,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Schornstein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Huel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Olde-Rikkert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M. A multi-centre RCT on community occupational therapy in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Alzheimer’s disease: Ten sessions are not superior to one consultation.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BMJ,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2011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doi:10.1136/ BMJ open 2011- 000096, 2011. 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12.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>Voigt-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Radloff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S., Graff MJL., Reinhart L.,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Schornstein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Olde-Rikkert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M.,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Huel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M.,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M. Why did an effective Dutch complex psycho-social intervention for people with dementia not work in the German health care context? Lesson learned from a process evaluation alongside a multi-centre RCT.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BMJ, 2011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doi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: 10.1136/ BMJ open 2011-000094,2011.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13.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Steultjens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E., Voight-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Radloff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S.,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Leonhart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R., Graff MJL. Reliability of the Perceive,  Recall, Plan and Perform (PRPP) assessment in community dwelling dementia patients: test consistency and inter-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rater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agreement"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Int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Psychogeriatr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. 2012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Apr;24(4):659-65.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doi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: 10.1017/S1041610211002249.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Epub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2011 Dec 14.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lastRenderedPageBreak/>
        <w:t>14.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Leven van ’t N, Graff MJL, Marleen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Kaijen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Bert J.M. de Swart, Marcel G.M.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and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Myrra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J.M.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 Barriers to and facilitators for the use of an evidence-based occupational therapy guideline for older people with dementia and their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carers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Int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J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Geriatr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Psychiatry. 2012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Jul;27(7):742-8.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doi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: 10.1002/ gps.2782.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Epub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2011 Sep 27.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15. 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Maud JL Graff, Patricia de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Vriendt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Louise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Nygard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  Mild cognitive impairment and early stage dementia: Assessment and treatment of everyday functioning.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European geriatric medicine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2012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,3:S12–S13. DOI:10.1016/j.eurger.2012.07.398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16.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Graff M.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Ergotherapie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bij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ouderen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met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dementie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aan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huis: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landelijke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implementatie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van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effectieve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kosteneffectieve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interventie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.[OT at home: national implementation of effective and efficient intervention.]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Denkbeeld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, April 2012 [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Denkbeeld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, Journal for workers in geriatric care].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17.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Graff MJL. Red. Graff,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Melick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 van,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Thijssen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Verstraten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P,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Zajec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J.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L’ergothérapie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auprès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domicile des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personnes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âgées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atteintes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de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démence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et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leurs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aidants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[Community occupational therapy for older people with dementia and their caregivers.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COTiD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programme] Edition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DeBoek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, Belgian, 2013. [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In French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] . ISBN:978-2-35327-188-7.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18.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Lieve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Roets-Merken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Maud JL Graff,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Sytse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U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Zuidema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Pieter GJM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Hermsen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Steven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Teerenstra,Gertrudis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IJM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Kempen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and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Myrra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JFJ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 Effectiveness of a self-management program for dual sensory impaired seniors in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aged care settings: study protocol for a cluster randomized controlled trial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Trials 2013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, 14:32.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19.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Sturkenboom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I.H.W.M., Graff M.,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Borm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G.,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Veenhuizen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Y,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Bloem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B,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Munneke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Nijhuis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M. The impact of occupational therapy in Parkinson's disease: a randomized controlled feasibility study.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Clin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Rehab,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2013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Feb;27(2):99-112.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doi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: 10.1177/0269215512448382.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Epub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2012 Jul 18 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20.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Döpp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CM, Graff MJ,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MG,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Nijhuis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-van der Sanden MW,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MJ. Determinants for the effectiveness of implementing an occupational therapy intervention in routine dementia care.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Implementation Science : IS. 2013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Nov 7;8(1):131.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21.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ab/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Sturkenboom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IH, Graff MJ,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Munneke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M.,Jan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CM Hendriks, Yvonne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Veenhuizen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Bloem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BR,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Nijhuis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-van der Sanden MW, Efficacy of occupational therapy for patients with Parkinson's disease: a randomised controlled trial.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The Lancet Neurology 2014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, Volume 13, No. 6, p557–566, June 2014. DOI: 10.1016/S1474-4422(14)70055-9, April 2014;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22.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Carola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ME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Döpp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Maud JL Graff, Steven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Teerenstra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Marcel GM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Olde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Rikkert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Maria WG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Nijhuis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–van der Sanden, and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Myrra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JFJ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.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Effectiveness of a training package for implementing a community-based occupational therapy program in dementia: A cluster randomized controlled trial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Clin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Rehab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December 28,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2014;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doi:10.1177/0269215514564699 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23.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Lieve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Roets-Merken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Irena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draskovic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Sytse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U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Zuidema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Willemijn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S van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Erp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Gertrudis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IJM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Kempen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Maud JL Graff, and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Myrra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JFJ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Vernooij-Dassen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. Effectiveness of rehabilitation interventions in improving emotional and functional status in hearing or visually impaired older adults: a systematic review with meta-analyses.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Clin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rehab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07/2014; DOI: 10.1177/0269215514542639</w:t>
      </w:r>
    </w:p>
    <w:p w:rsidR="00324F8F" w:rsidRPr="00324F8F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24.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>Graff M. Interview with Occupational Therapy Magazine (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Ergotherapie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Magazine) about cost-effectiveness , implementation and contents of COTID (EDOMAH in Dutch) programme in the Netherlands: discussion about Social Economic Research Report given to Minister </w:t>
      </w:r>
      <w:proofErr w:type="spellStart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Schippers</w:t>
      </w:r>
      <w:proofErr w:type="spellEnd"/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and the Secretary of State van Rijn (SEO rapport, November 2014). </w:t>
      </w:r>
      <w:proofErr w:type="spellStart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Ergotherapie</w:t>
      </w:r>
      <w:proofErr w:type="spellEnd"/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 xml:space="preserve"> Magazine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,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March 2015.</w:t>
      </w:r>
    </w:p>
    <w:p w:rsidR="00E64E46" w:rsidRDefault="00324F8F" w:rsidP="00324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</w:pP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>25.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ab/>
        <w:t xml:space="preserve">Graff MJL, Community Occupational Therapy in older people with dementia and their caregivers in the Netherlands and Europe. </w:t>
      </w:r>
      <w:r w:rsidRPr="00324F8F">
        <w:rPr>
          <w:rFonts w:ascii="Verdana" w:eastAsia="Times New Roman" w:hAnsi="Verdana" w:cs="Times New Roman"/>
          <w:i/>
          <w:sz w:val="20"/>
          <w:szCs w:val="20"/>
          <w:lang w:val="en-GB" w:eastAsia="nl-NL"/>
        </w:rPr>
        <w:t>Japanese Occupational Therapy Research Journal (JOTR ), April, 2015;</w:t>
      </w:r>
      <w:r w:rsidRPr="00324F8F">
        <w:rPr>
          <w:rFonts w:ascii="Verdana" w:eastAsia="Times New Roman" w:hAnsi="Verdana" w:cs="Times New Roman"/>
          <w:sz w:val="20"/>
          <w:szCs w:val="20"/>
          <w:lang w:val="en-GB" w:eastAsia="nl-NL"/>
        </w:rPr>
        <w:t xml:space="preserve"> Vol.34 No.2</w:t>
      </w:r>
      <w:bookmarkStart w:id="0" w:name="_GoBack"/>
      <w:bookmarkEnd w:id="0"/>
    </w:p>
    <w:sectPr w:rsidR="00E64E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B9B"/>
    <w:multiLevelType w:val="hybridMultilevel"/>
    <w:tmpl w:val="B23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8F"/>
    <w:rsid w:val="00324F8F"/>
    <w:rsid w:val="00E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maud</cp:lastModifiedBy>
  <cp:revision>2</cp:revision>
  <dcterms:created xsi:type="dcterms:W3CDTF">2015-06-05T09:39:00Z</dcterms:created>
  <dcterms:modified xsi:type="dcterms:W3CDTF">2015-06-05T09:39:00Z</dcterms:modified>
</cp:coreProperties>
</file>